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78" w:rsidRDefault="00015078" w:rsidP="00015078">
      <w:pPr>
        <w:pStyle w:val="1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ПОЯСНИТЕЛЬНАЯ ЗАПИСКА К РАБОЧЕЙ ПРОГРАММЕ  ПО   ПРЕДМЕТУ «МАТЕМАТИКА»</w:t>
      </w:r>
    </w:p>
    <w:p w:rsidR="00015078" w:rsidRDefault="00015078" w:rsidP="00015078">
      <w:pPr>
        <w:pStyle w:val="1"/>
        <w:shd w:val="clear" w:color="auto" w:fill="FFFFFF"/>
        <w:spacing w:after="0" w:line="240" w:lineRule="auto"/>
        <w:jc w:val="both"/>
        <w:rPr>
          <w:rFonts w:ascii="Times New Roman" w:hAnsi="Times New Roman"/>
          <w:lang w:val="tt-RU" w:eastAsia="ru-RU"/>
        </w:rPr>
      </w:pPr>
      <w:r>
        <w:rPr>
          <w:rFonts w:ascii="Times New Roman" w:hAnsi="Times New Roman"/>
          <w:spacing w:val="-4"/>
          <w:lang w:eastAsia="ru-RU"/>
        </w:rPr>
        <w:t>Рабочая программа по математике для 3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/>
          <w:spacing w:val="-4"/>
          <w:lang w:val="tt-RU" w:eastAsia="ru-RU"/>
        </w:rPr>
        <w:t>: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Федерального закона от 29.12.2012 №273-ФЗ “Об образовании в Российской Федерации»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Закона РТ от 22.07.2013 №68-ЗРТ «Об образовании»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ФГОС НОО (утвержден приказом минобрнауки России от 6 октября 2009г. №373);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Основной образовательной программы начального общего образования МБОУ «</w:t>
      </w:r>
      <w:r>
        <w:rPr>
          <w:rFonts w:ascii="Times New Roman" w:hAnsi="Times New Roman"/>
          <w:lang w:val="tt-RU" w:eastAsia="ru-RU"/>
        </w:rPr>
        <w:t>Средняя общеобразовательная школа №117</w:t>
      </w:r>
      <w:r>
        <w:rPr>
          <w:rFonts w:ascii="Times New Roman" w:hAnsi="Times New Roman"/>
          <w:lang w:eastAsia="ru-RU"/>
        </w:rPr>
        <w:t>» Авиастроительного района г.Казани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Примерной программы по учебным предметам «Начальная школа» (Москва «Просвещение», 2010г.)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/>
          <w:lang w:val="tt-RU" w:eastAsia="ru-RU"/>
        </w:rPr>
        <w:t>(приказ № 253 от 31 марта 2014 года)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val="tt-RU" w:eastAsia="ru-RU"/>
        </w:rPr>
        <w:t xml:space="preserve">Учебного плана МБОУ </w:t>
      </w:r>
      <w:r>
        <w:rPr>
          <w:rFonts w:ascii="Times New Roman" w:hAnsi="Times New Roman"/>
          <w:lang w:eastAsia="ru-RU"/>
        </w:rPr>
        <w:t>«</w:t>
      </w:r>
      <w:r>
        <w:rPr>
          <w:rFonts w:ascii="Times New Roman" w:hAnsi="Times New Roman"/>
          <w:lang w:val="tt-RU" w:eastAsia="ru-RU"/>
        </w:rPr>
        <w:t>Средняя общеобразовательная школа №117</w:t>
      </w:r>
      <w:r>
        <w:rPr>
          <w:rFonts w:ascii="Times New Roman" w:hAnsi="Times New Roman"/>
          <w:lang w:eastAsia="ru-RU"/>
        </w:rPr>
        <w:t>» Авиастроительного района г.Казани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Годового календарного учебного графика МБОУ «Школа№117»</w:t>
      </w:r>
    </w:p>
    <w:p w:rsidR="00015078" w:rsidRDefault="00015078" w:rsidP="00015078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УМК: учебник  «Математика», 3класс, Г.В. Дорофеев, М.: Издательство «Просвещение», 2017г. </w:t>
      </w:r>
    </w:p>
    <w:p w:rsidR="00015078" w:rsidRDefault="00015078" w:rsidP="00015078">
      <w:pPr>
        <w:pStyle w:val="1"/>
        <w:spacing w:after="0" w:line="240" w:lineRule="auto"/>
        <w:ind w:left="360"/>
        <w:jc w:val="both"/>
        <w:rPr>
          <w:rFonts w:ascii="Times New Roman" w:hAnsi="Times New Roman"/>
          <w:lang w:eastAsia="ru-RU"/>
        </w:rPr>
      </w:pPr>
    </w:p>
    <w:p w:rsidR="00015078" w:rsidRDefault="00015078" w:rsidP="00015078">
      <w:pPr>
        <w:pStyle w:val="1"/>
        <w:spacing w:after="0" w:line="240" w:lineRule="auto"/>
        <w:jc w:val="center"/>
        <w:rPr>
          <w:rFonts w:ascii="Times New Roman" w:hAnsi="Times New Roman"/>
          <w:b/>
          <w:bCs/>
          <w:lang w:eastAsia="hi-IN"/>
        </w:rPr>
      </w:pPr>
      <w:r>
        <w:rPr>
          <w:rFonts w:ascii="Times New Roman" w:hAnsi="Times New Roman"/>
          <w:bCs/>
          <w:lang w:eastAsia="hi-IN"/>
        </w:rPr>
        <w:t>.</w:t>
      </w:r>
      <w:r>
        <w:rPr>
          <w:rFonts w:ascii="Times New Roman" w:hAnsi="Times New Roman"/>
          <w:b/>
          <w:bCs/>
          <w:lang w:eastAsia="hi-IN"/>
        </w:rPr>
        <w:t>Содержание программы: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Числа и  действия над ними – 129 ч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Прибавление числа к сумме, суммы к числу. Вычитание числа из суммы, суммы из числа. Использование свойств сложения и вычитания для рационализации вычислений. 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Сотня как новая счётная единица. Счёт сотнями. Запись и названия круглых сотен и действия (сложение и вычитание) над ними. Счёт сотнями, десятками и единицами в пределах 1000. 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Название и последовательность трёхзначных чисел. Разрядный состав трёхзначного числа. Сравнение трёхзначных чисел. Приёмы сложения и вычитания трёхзначных чисел, основанные на знании нумерации и способов образования числа.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Умножение и деление суммы на число, числа на сумму. Устные приёмы внетабличного умножения и деления. Проверка умножения и  деления.     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Внетабличные случаи умножения и деления чисел в пределах 100. Взаимосвязь между умножением и делением. Правила нахождения неизвестного множителя, неизвестного делимого, неизвестного делителя. Умножение и деление чисел в пределах 1000 в случаях, сводимых к действиям в пределах 100. Делители и кратные. Чётные и нечётные числа. Деление с остатком. Свойства остатков.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Сложение и вычитание трёхзначных чисел с переходом через разряд (письменные способы вычислений). 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Умножение и деление чисел на 10, 100. Умножение и деление круглых чисел в пределах 1000. Умножение трёхзначного числа на однозначное (письменные вычисления).Деление трёхзначного числа на однозначное (письменные вычисления).Умножение двузначного числа на двузначное (письменные вычисления). Деление на двузначное число. Решение простых и составных задач в 2—3 действия.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lastRenderedPageBreak/>
        <w:t xml:space="preserve">     Задачи на кратное сравнение, на нахождение четвёртого пропорционального, решаемые методом прямого приведения к единице, методом отношений, задачи с геометрическим содержанием.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Фигуры и их свойства – 20ч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Обозначение фигур буквами латинского алфавита. Контуры. Равные фигуры. Геометрия на клетчатой бумаге. Фигурные числа. Задачи на восстановление фигур из частей и конструирование фигур с заданными свойствами.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Величины и их измерения – 26ч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Единица длины: километр. Соотношения между единицами длины. Площадь фигуры и её измерение. Единицы площади: квадратный сантиметр, квадратный дециметр, квадратный метр. Площадь прямоугольника. Единица массы: грамм. Соотношение между единицами</w:t>
      </w:r>
    </w:p>
    <w:p w:rsidR="00015078" w:rsidRDefault="00015078" w:rsidP="00015078">
      <w:pPr>
        <w:pStyle w:val="1"/>
        <w:spacing w:after="0" w:line="240" w:lineRule="auto"/>
        <w:ind w:firstLine="72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массы. Сравнение, сложение и вычитание именованных и составных именованных чисел. Перевод единиц величин.</w:t>
      </w:r>
    </w:p>
    <w:tbl>
      <w:tblPr>
        <w:tblW w:w="10369" w:type="dxa"/>
        <w:tblInd w:w="9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4A0"/>
      </w:tblPr>
      <w:tblGrid>
        <w:gridCol w:w="807"/>
        <w:gridCol w:w="7100"/>
        <w:gridCol w:w="2462"/>
      </w:tblGrid>
      <w:tr w:rsidR="00015078" w:rsidTr="00015078"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 п/п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Название раздела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/>
              </w:rPr>
              <w:t>Количество часов</w:t>
            </w:r>
          </w:p>
        </w:tc>
      </w:tr>
      <w:tr w:rsidR="00015078" w:rsidTr="00015078"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Числа и  действия над ними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</w:tr>
      <w:tr w:rsidR="00015078" w:rsidTr="00015078"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Фигуры и их свойства 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015078" w:rsidTr="00015078"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Величины и их измерения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015078" w:rsidTr="00015078">
        <w:tc>
          <w:tcPr>
            <w:tcW w:w="79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 за год: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078" w:rsidRDefault="00015078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</w:tr>
    </w:tbl>
    <w:p w:rsidR="00015078" w:rsidRDefault="00015078" w:rsidP="00015078">
      <w:pPr>
        <w:pStyle w:val="1"/>
        <w:shd w:val="clear" w:color="auto" w:fill="FFFFFF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015078" w:rsidRDefault="00015078" w:rsidP="00015078">
      <w:pPr>
        <w:pStyle w:val="1"/>
        <w:shd w:val="clear" w:color="auto" w:fill="FFFFFF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015078" w:rsidRDefault="00015078" w:rsidP="00015078">
      <w:pPr>
        <w:pStyle w:val="1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Планируемые результаты освоения обучающимися программы  по математике</w:t>
      </w:r>
    </w:p>
    <w:p w:rsidR="00015078" w:rsidRDefault="00015078" w:rsidP="00015078">
      <w:pPr>
        <w:pStyle w:val="1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Предметные результаты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Числа и величины. 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Учащийся научится: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моделировать ситуации, требующие умения считать сотнями;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выполнять счёт сотнями в пределах 1000 как прямой, так и обратный;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образовывать круглые сотни в пределах 1000 на основе принципа умножения (300 — это 3 раза по 100) и все другие числа от 100 до 1000 из сотен, десятков и нескольких единиц (267 – это 2 сотни, 6 десятков и 7 единиц);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сравнивать числа в пределах 1000, опираясь на порядок их следования при счёте;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читать и записывать трёхзначные числа, объясняя, что обозначает каждая цифра в их записи;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упорядочивать натуральные числа от 0 до 1000 в соответствии с заданным порядком;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выявлять закономерность ряда чисел, дополнять его в соответствии с этой закономерностью;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lang w:eastAsia="ru-RU"/>
        </w:rPr>
        <w:t>— составлять или продолжать последовательность по заданному или самостоятельно выбранному правилу;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lang w:eastAsia="ru-RU"/>
        </w:rPr>
        <w:t>— работать в паре при решении задач на поиск закономерностей;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группировать числа по заданному или самостоятельно установленному признаку;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lastRenderedPageBreak/>
        <w:t>— измерять площадь фигуры в квадратных сантиметрах, квадратных дециметрах, квадратных метрах;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сравнивать площади фигур, выраженные в разных единицах;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заменять крупные единицы площади мелкими: (1 дм</w:t>
      </w:r>
      <w:r>
        <w:rPr>
          <w:rFonts w:ascii="Times New Roman" w:hAnsi="Times New Roman"/>
          <w:vertAlign w:val="superscript"/>
          <w:lang w:eastAsia="ru-RU"/>
        </w:rPr>
        <w:t>2</w:t>
      </w:r>
      <w:r>
        <w:rPr>
          <w:rFonts w:ascii="Times New Roman" w:hAnsi="Times New Roman"/>
          <w:lang w:eastAsia="ru-RU"/>
        </w:rPr>
        <w:t xml:space="preserve"> = 100 см</w:t>
      </w:r>
      <w:r>
        <w:rPr>
          <w:rFonts w:ascii="Times New Roman" w:hAnsi="Times New Roman"/>
          <w:vertAlign w:val="superscript"/>
          <w:lang w:eastAsia="ru-RU"/>
        </w:rPr>
        <w:t>2</w:t>
      </w:r>
      <w:r>
        <w:rPr>
          <w:rFonts w:ascii="Times New Roman" w:hAnsi="Times New Roman"/>
          <w:lang w:eastAsia="ru-RU"/>
        </w:rPr>
        <w:t>) и обратно (100 дм</w:t>
      </w:r>
      <w:r>
        <w:rPr>
          <w:rFonts w:ascii="Times New Roman" w:hAnsi="Times New Roman"/>
          <w:vertAlign w:val="superscript"/>
          <w:lang w:eastAsia="ru-RU"/>
        </w:rPr>
        <w:t xml:space="preserve">2 </w:t>
      </w:r>
      <w:r>
        <w:rPr>
          <w:rFonts w:ascii="Times New Roman" w:hAnsi="Times New Roman"/>
          <w:lang w:eastAsia="ru-RU"/>
        </w:rPr>
        <w:t>= 1 м</w:t>
      </w:r>
      <w:r>
        <w:rPr>
          <w:rFonts w:ascii="Times New Roman" w:hAnsi="Times New Roman"/>
          <w:vertAlign w:val="superscript"/>
          <w:lang w:eastAsia="ru-RU"/>
        </w:rPr>
        <w:t>2</w:t>
      </w:r>
      <w:r>
        <w:rPr>
          <w:rFonts w:ascii="Times New Roman" w:hAnsi="Times New Roman"/>
          <w:lang w:eastAsia="ru-RU"/>
        </w:rPr>
        <w:t>);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используя основные единицы измерения величин и соотношения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Учащийся получит возможность научиться: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— классифицировать изученные числа по разным основаниям;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lang w:eastAsia="ru-RU"/>
        </w:rPr>
        <w:t xml:space="preserve">— </w:t>
      </w:r>
      <w:r>
        <w:rPr>
          <w:rFonts w:ascii="Times New Roman" w:hAnsi="Times New Roman"/>
          <w:i/>
          <w:iCs/>
          <w:lang w:eastAsia="ru-RU"/>
        </w:rPr>
        <w:t>использовать различные мерки для вычисления площади фигуры;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lang w:eastAsia="ru-RU"/>
        </w:rPr>
        <w:t xml:space="preserve">— </w:t>
      </w:r>
      <w:r>
        <w:rPr>
          <w:rFonts w:ascii="Times New Roman" w:hAnsi="Times New Roman"/>
          <w:i/>
          <w:iCs/>
          <w:lang w:eastAsia="ru-RU"/>
        </w:rPr>
        <w:t>выполнять разными способами подсчёт единичных квадратов (единичных кубиков) в плоской (пространственной) фигуре, составленной из них.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Арифметические действия. 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Учащийся научится: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выполнять сложение и вычитание чисел в пределах 1000;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выполнять умножение и деление трёхзначных чисел на однозначное число, когда результат не превышает 1000;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выполнять деление с остатком в пределах 1000;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– письменно выполнять умножение и деление на однозначное число в пределах 1000;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выделять неизвестный компонент арифметического действия и находить его значение;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находить значения выражений, содержащих два–три действия со скобками и без скобок.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Учащийся получит возможность научиться: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– оценивать приближённо результаты арифметических действий;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– использовать приёмы округления для рационализации вычислений или проверки полученного результата.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Работа с текстовыми задачами. 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Учащийся научится: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выполнять краткую запись задачи, используя различные формы: таблицу, чертёж, схему и т. д.;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составлять задачу по её краткой записи, представленной в различных формах (таблица, схема, чертёж и т. д.);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оценивать правильность хода решения задачи;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выполнять проверку решения задачи разными способами.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lastRenderedPageBreak/>
        <w:t>Учащийся получит возможность научиться: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— сравнивать задачи по фабуле и решению;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— преобразовывать данную задачу в новую с помощью изменения вопроса или условия;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— находить разные способы решения одной задачи.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Пространственные отношения. Геометрические фигуры. 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Учащийся научится: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описывать взаимное расположение предметов в пространстве и на плоскости;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находить равные фигуры, используя приёмы наложения, сравнения фигур на клетчатой бумаге;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iCs/>
          <w:lang w:eastAsia="ru-RU"/>
        </w:rPr>
        <w:t>— к</w:t>
      </w:r>
      <w:r>
        <w:rPr>
          <w:rFonts w:ascii="Times New Roman" w:hAnsi="Times New Roman"/>
          <w:lang w:eastAsia="ru-RU"/>
        </w:rPr>
        <w:t>лассифицировать треугольники на равнобедренные и разносторонние, различать равносторонние треугольники;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строить квадрат и прямоугольник по заданным значениям длин сторон с помощью линейки и угольника;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lang w:eastAsia="ru-RU"/>
        </w:rPr>
        <w:t>— р</w:t>
      </w:r>
      <w:r>
        <w:rPr>
          <w:rFonts w:ascii="Times New Roman" w:hAnsi="Times New Roman"/>
          <w:iCs/>
          <w:lang w:eastAsia="ru-RU"/>
        </w:rPr>
        <w:t>аспознавать прямоугольный параллелепипед, находить на модели прямоугольного параллелепипеда его элементы: вершины, грани, ребра;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находить в окружающей обстановке предметы в форме прямоугольного параллелепипеда.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Учащийся получит возможность научиться: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– копировать изображение прямоугольного параллелепипеда на клетчатой бумаге;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– располагать модель прямоугольного параллелепипеда в пространстве, согласно заданному описанию;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– конструировать модель прямоугольного параллелепипеда по его развёртке.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Геометрические величины. 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Учащийся научится: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определять длину данного отрезка с помощью измерительной линейки;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вычислять периметр многоугольника, в том числе треугольника, прямоугольника и квадрата;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— </w:t>
      </w:r>
      <w:r>
        <w:rPr>
          <w:rFonts w:ascii="Times New Roman" w:hAnsi="Times New Roman"/>
          <w:iCs/>
          <w:lang w:eastAsia="ru-RU"/>
        </w:rPr>
        <w:t>применять единицу измерения длины километр и соотношения: 1 км = 1000 м, 1 м = 1000 мм;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вычислять площадь прямоугольника и квадрата;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использовать единицы измерения площади: квадратный сантиметр, квадратный дециметр, квадратный метр, и соотношения между ними: 1 см² = 100 мм², 1 дм² = 100 см², 1 м² = 100 дм²;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оценивать длины сторон прямоугольника; расстояние приближённо (на глаз).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Учащийся получит возможность научиться: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—сравнивать фигуры по площади;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– находить и объединять равновеликие плоские фигуры в группы;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– находить площадь ступенчатой фигуры разными способами.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Работа с информацией. 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Учащийся научится: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устанавливать закономерность по данным таблицы;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lastRenderedPageBreak/>
        <w:t>— использовать данные готовых столбчатых и линейных диаграмм при решении текстовых задач;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заполнять таблицу в соответствии с выявленной закономерностью;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находить данные, представлять их в виде диаграммы, обобщать и интерпретировать эту информацию;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 строить диаграмму по данным текста, таблицы;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Cs/>
          <w:lang w:eastAsia="ru-RU"/>
        </w:rPr>
      </w:pPr>
      <w:r>
        <w:rPr>
          <w:rFonts w:ascii="Times New Roman" w:hAnsi="Times New Roman"/>
          <w:iCs/>
          <w:lang w:eastAsia="ru-RU"/>
        </w:rPr>
        <w:t>— понимать выражения, содержащие логические связки и слова («... и...», «... или...», «не», «если.., то... », «верно/неверно, что...», «каждый», «все».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ar-SA"/>
        </w:rPr>
      </w:pPr>
      <w:r>
        <w:rPr>
          <w:rFonts w:ascii="Times New Roman" w:hAnsi="Times New Roman"/>
          <w:i/>
          <w:lang w:eastAsia="ru-RU"/>
        </w:rPr>
        <w:t>Учащийся получит возможность научиться: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— читать несложные готовые столбчатые диаграммы, анализировать их данные;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>—составлять простейшие таблицы, диаграммы по результатам выполне</w:t>
      </w:r>
      <w:r>
        <w:rPr>
          <w:rFonts w:ascii="Times New Roman" w:hAnsi="Times New Roman"/>
          <w:i/>
          <w:iCs/>
          <w:lang w:eastAsia="ru-RU"/>
        </w:rPr>
        <w:softHyphen/>
        <w:t>ния практической работы;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 xml:space="preserve">– </w:t>
      </w:r>
      <w:r>
        <w:rPr>
          <w:rFonts w:ascii="Times New Roman" w:hAnsi="Times New Roman"/>
          <w:i/>
          <w:lang w:eastAsia="ru-RU"/>
        </w:rPr>
        <w:t>рисовать столбчатую диаграмму по данным опроса; текста, таблицы, задачи;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– определять масштаб столбчатой диаграммы;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iCs/>
          <w:lang w:eastAsia="ru-RU"/>
        </w:rPr>
      </w:pPr>
      <w:r>
        <w:rPr>
          <w:rFonts w:ascii="Times New Roman" w:hAnsi="Times New Roman"/>
          <w:i/>
          <w:lang w:eastAsia="ru-RU"/>
        </w:rPr>
        <w:t xml:space="preserve">– строить простейшие умозаключения с использованием логических связок: </w:t>
      </w:r>
      <w:r>
        <w:rPr>
          <w:rFonts w:ascii="Times New Roman" w:hAnsi="Times New Roman"/>
          <w:i/>
          <w:iCs/>
          <w:lang w:eastAsia="ru-RU"/>
        </w:rPr>
        <w:t>(«... и...», «... или...», «не», «если.., то... », «верно/неверно, что...», «каждый», «все»);</w:t>
      </w:r>
    </w:p>
    <w:p w:rsidR="00015078" w:rsidRDefault="00015078" w:rsidP="00015078">
      <w:pPr>
        <w:pStyle w:val="1"/>
        <w:spacing w:after="0" w:line="240" w:lineRule="auto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iCs/>
          <w:lang w:eastAsia="ru-RU"/>
        </w:rPr>
        <w:t xml:space="preserve">– </w:t>
      </w:r>
      <w:r>
        <w:rPr>
          <w:rFonts w:ascii="Times New Roman" w:hAnsi="Times New Roman"/>
          <w:i/>
          <w:lang w:eastAsia="ru-RU"/>
        </w:rPr>
        <w:t>вносить коррективы в инструкцию, алгоритм выполнения действий и обосновывать их.</w:t>
      </w:r>
    </w:p>
    <w:p w:rsidR="00015078" w:rsidRDefault="00015078" w:rsidP="00015078">
      <w:pPr>
        <w:keepNext/>
        <w:widowControl w:val="0"/>
        <w:tabs>
          <w:tab w:val="left" w:pos="708"/>
        </w:tabs>
        <w:spacing w:before="240" w:after="60" w:line="100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</w:rPr>
        <w:t>Личностные результаты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1.Целостное восприятие окружающего мира, начальное представление  об истории развития математического знания, роли математики  в системе знаний.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2.Овладение начальными навыками адаптации в динамично изменяющемся мире на основе метода рефлексивной самоорганизации.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3.Развитие самостоятельности  и личной ответственности за свой поступок, способность к рефлексивной самооценке.</w:t>
      </w:r>
    </w:p>
    <w:p w:rsidR="00015078" w:rsidRDefault="00015078" w:rsidP="00015078">
      <w:pPr>
        <w:rPr>
          <w:b/>
          <w:sz w:val="24"/>
          <w:szCs w:val="24"/>
        </w:rPr>
      </w:pPr>
      <w:r>
        <w:rPr>
          <w:sz w:val="24"/>
          <w:szCs w:val="24"/>
        </w:rPr>
        <w:t>4.  Развитие мотивов учебной деятельности и формирование личностного смысла учения.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5.Развитие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6.Формирование установки на безопасный, здоровый образ жизни, наличие мотивации к творческому труду, работе на результат.</w:t>
      </w:r>
    </w:p>
    <w:p w:rsidR="00015078" w:rsidRDefault="00015078" w:rsidP="00015078">
      <w:pPr>
        <w:keepNext/>
        <w:widowControl w:val="0"/>
        <w:tabs>
          <w:tab w:val="left" w:pos="708"/>
        </w:tabs>
        <w:spacing w:before="240" w:after="60" w:line="100" w:lineRule="atLeast"/>
        <w:jc w:val="center"/>
        <w:rPr>
          <w:b/>
          <w:bCs/>
          <w:sz w:val="24"/>
          <w:szCs w:val="24"/>
        </w:rPr>
      </w:pPr>
      <w:bookmarkStart w:id="0" w:name="_Toc280176715"/>
      <w:bookmarkStart w:id="1" w:name="_Toc280176139"/>
      <w:bookmarkEnd w:id="0"/>
      <w:bookmarkEnd w:id="1"/>
      <w:r>
        <w:rPr>
          <w:b/>
          <w:bCs/>
          <w:sz w:val="24"/>
          <w:szCs w:val="24"/>
        </w:rPr>
        <w:t>Метапредметные результаты</w:t>
      </w:r>
    </w:p>
    <w:p w:rsidR="00015078" w:rsidRDefault="00015078" w:rsidP="0001507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Регулятивные: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1.Овладение способностью принимать и сохранять цели и задачи учебной деятельности, искать средства её осуществления.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lastRenderedPageBreak/>
        <w:t>2.Освоение способов решения проблем творческого и поискового характера.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3.Формирование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015078" w:rsidRDefault="00015078" w:rsidP="00015078">
      <w:pPr>
        <w:rPr>
          <w:rFonts w:eastAsia="Arial Unicode MS"/>
          <w:b/>
          <w:kern w:val="2"/>
          <w:sz w:val="24"/>
          <w:szCs w:val="24"/>
        </w:rPr>
      </w:pPr>
      <w:r>
        <w:rPr>
          <w:rFonts w:eastAsia="Arial Unicode MS"/>
          <w:b/>
          <w:kern w:val="2"/>
          <w:sz w:val="24"/>
          <w:szCs w:val="24"/>
        </w:rPr>
        <w:t>Познавательные:</w:t>
      </w:r>
    </w:p>
    <w:p w:rsidR="00015078" w:rsidRDefault="00015078" w:rsidP="00015078">
      <w:pPr>
        <w:rPr>
          <w:rFonts w:eastAsia="Times New Roman"/>
          <w:sz w:val="24"/>
          <w:szCs w:val="24"/>
        </w:rPr>
      </w:pPr>
      <w:r>
        <w:rPr>
          <w:sz w:val="24"/>
          <w:szCs w:val="24"/>
        </w:rPr>
        <w:t>1.Использование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2.Использование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«Математика».</w:t>
      </w:r>
    </w:p>
    <w:p w:rsidR="00015078" w:rsidRDefault="00015078" w:rsidP="00015078">
      <w:pPr>
        <w:rPr>
          <w:sz w:val="24"/>
          <w:szCs w:val="24"/>
        </w:rPr>
      </w:pPr>
      <w:r>
        <w:rPr>
          <w:sz w:val="24"/>
          <w:szCs w:val="24"/>
        </w:rPr>
        <w:t>3.Овладение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015078" w:rsidRDefault="00015078" w:rsidP="00015078">
      <w:pPr>
        <w:widowControl w:val="0"/>
        <w:rPr>
          <w:rFonts w:eastAsia="Arial Unicode MS"/>
          <w:b/>
          <w:kern w:val="2"/>
          <w:sz w:val="24"/>
          <w:szCs w:val="24"/>
        </w:rPr>
      </w:pPr>
      <w:r>
        <w:rPr>
          <w:rFonts w:eastAsia="Arial Unicode MS"/>
          <w:b/>
          <w:kern w:val="2"/>
          <w:sz w:val="24"/>
          <w:szCs w:val="24"/>
        </w:rPr>
        <w:t>Коммуникативные:</w:t>
      </w:r>
    </w:p>
    <w:p w:rsidR="00015078" w:rsidRDefault="00015078" w:rsidP="00015078">
      <w:pPr>
        <w:rPr>
          <w:rFonts w:eastAsia="Times New Roman"/>
          <w:sz w:val="24"/>
          <w:szCs w:val="24"/>
        </w:rPr>
      </w:pPr>
      <w:r>
        <w:rPr>
          <w:sz w:val="24"/>
          <w:szCs w:val="24"/>
        </w:rPr>
        <w:t>1.Готовность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</w:r>
    </w:p>
    <w:p w:rsidR="00015078" w:rsidRDefault="00015078" w:rsidP="00015078">
      <w:pPr>
        <w:pStyle w:val="1"/>
        <w:tabs>
          <w:tab w:val="center" w:pos="7568"/>
          <w:tab w:val="left" w:pos="113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36"/>
          <w:lang w:eastAsia="ru-RU"/>
        </w:rPr>
      </w:pPr>
      <w:r>
        <w:rPr>
          <w:rFonts w:ascii="Times New Roman" w:eastAsia="Times New Roman" w:hAnsi="Times New Roman"/>
          <w:lang w:eastAsia="ru-RU"/>
        </w:rPr>
        <w:t>2.Овладение базовыми предметными и межпредметными понятиями, отражающими существенные связи и отношения между объектами и процессами</w:t>
      </w:r>
    </w:p>
    <w:p w:rsidR="00015078" w:rsidRDefault="00015078" w:rsidP="00015078">
      <w:pPr>
        <w:pStyle w:val="1"/>
        <w:tabs>
          <w:tab w:val="center" w:pos="7568"/>
          <w:tab w:val="left" w:pos="113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36"/>
          <w:lang w:eastAsia="ru-RU"/>
        </w:rPr>
      </w:pPr>
    </w:p>
    <w:p w:rsidR="00015078" w:rsidRDefault="00015078" w:rsidP="00015078">
      <w:pPr>
        <w:pStyle w:val="1"/>
        <w:tabs>
          <w:tab w:val="center" w:pos="7568"/>
          <w:tab w:val="left" w:pos="113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36"/>
          <w:lang w:eastAsia="ru-RU"/>
        </w:rPr>
      </w:pPr>
    </w:p>
    <w:p w:rsidR="00015078" w:rsidRDefault="00015078" w:rsidP="00015078">
      <w:pPr>
        <w:pStyle w:val="1"/>
        <w:tabs>
          <w:tab w:val="center" w:pos="7568"/>
          <w:tab w:val="left" w:pos="113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36"/>
          <w:lang w:eastAsia="ru-RU"/>
        </w:rPr>
      </w:pPr>
    </w:p>
    <w:p w:rsidR="00D83449" w:rsidRPr="00D83449" w:rsidRDefault="00D83449" w:rsidP="00D83449">
      <w:pPr>
        <w:ind w:right="-31"/>
        <w:rPr>
          <w:rFonts w:ascii="Times New Roman" w:hAnsi="Times New Roman" w:cs="Times New Roman"/>
          <w:sz w:val="28"/>
          <w:szCs w:val="28"/>
        </w:rPr>
      </w:pPr>
    </w:p>
    <w:p w:rsidR="00D83449" w:rsidRPr="00D83449" w:rsidRDefault="00D83449" w:rsidP="00D83449">
      <w:pPr>
        <w:ind w:right="-31"/>
        <w:rPr>
          <w:rFonts w:ascii="Times New Roman" w:hAnsi="Times New Roman" w:cs="Times New Roman"/>
          <w:sz w:val="28"/>
          <w:szCs w:val="28"/>
        </w:rPr>
      </w:pPr>
    </w:p>
    <w:p w:rsidR="00D83449" w:rsidRPr="00D83449" w:rsidRDefault="00D83449" w:rsidP="00D83449">
      <w:pPr>
        <w:ind w:right="-31"/>
        <w:rPr>
          <w:rFonts w:ascii="Times New Roman" w:hAnsi="Times New Roman" w:cs="Times New Roman"/>
          <w:sz w:val="28"/>
          <w:szCs w:val="28"/>
        </w:rPr>
      </w:pPr>
    </w:p>
    <w:sectPr w:rsidR="00D83449" w:rsidRPr="00D83449" w:rsidSect="00D834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F584A"/>
    <w:multiLevelType w:val="multilevel"/>
    <w:tmpl w:val="AB008EF2"/>
    <w:lvl w:ilvl="0">
      <w:start w:val="1"/>
      <w:numFmt w:val="decimal"/>
      <w:lvlText w:val="%1"/>
      <w:lvlJc w:val="left"/>
      <w:pPr>
        <w:ind w:left="1440" w:hanging="360"/>
      </w:pPr>
    </w:lvl>
    <w:lvl w:ilvl="1">
      <w:start w:val="1"/>
      <w:numFmt w:val="lowerLetter"/>
      <w:lvlText w:val="%2"/>
      <w:lvlJc w:val="left"/>
      <w:pPr>
        <w:ind w:left="2160" w:hanging="360"/>
      </w:pPr>
    </w:lvl>
    <w:lvl w:ilvl="2">
      <w:start w:val="1"/>
      <w:numFmt w:val="lowerRoman"/>
      <w:lvlText w:val="%3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</w:lvl>
    <w:lvl w:ilvl="4">
      <w:start w:val="1"/>
      <w:numFmt w:val="lowerLetter"/>
      <w:lvlText w:val="%5"/>
      <w:lvlJc w:val="left"/>
      <w:pPr>
        <w:ind w:left="4320" w:hanging="360"/>
      </w:pPr>
    </w:lvl>
    <w:lvl w:ilvl="5">
      <w:start w:val="1"/>
      <w:numFmt w:val="lowerRoman"/>
      <w:lvlText w:val="%6"/>
      <w:lvlJc w:val="right"/>
      <w:pPr>
        <w:ind w:left="5040" w:hanging="180"/>
      </w:pPr>
    </w:lvl>
    <w:lvl w:ilvl="6">
      <w:start w:val="1"/>
      <w:numFmt w:val="decimal"/>
      <w:lvlText w:val="%7"/>
      <w:lvlJc w:val="left"/>
      <w:pPr>
        <w:ind w:left="5760" w:hanging="360"/>
      </w:pPr>
    </w:lvl>
    <w:lvl w:ilvl="7">
      <w:start w:val="1"/>
      <w:numFmt w:val="lowerLetter"/>
      <w:lvlText w:val="%8"/>
      <w:lvlJc w:val="left"/>
      <w:pPr>
        <w:ind w:left="6480" w:hanging="360"/>
      </w:pPr>
    </w:lvl>
    <w:lvl w:ilvl="8">
      <w:start w:val="1"/>
      <w:numFmt w:val="lowerRoman"/>
      <w:lvlText w:val="%9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3449"/>
    <w:rsid w:val="00015078"/>
    <w:rsid w:val="00AA0E8D"/>
    <w:rsid w:val="00BA1FBB"/>
    <w:rsid w:val="00D8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3449"/>
    <w:pPr>
      <w:spacing w:after="0" w:line="240" w:lineRule="auto"/>
    </w:pPr>
  </w:style>
  <w:style w:type="paragraph" w:customStyle="1" w:styleId="1">
    <w:name w:val="Обычный1"/>
    <w:rsid w:val="00015078"/>
    <w:pPr>
      <w:tabs>
        <w:tab w:val="left" w:pos="708"/>
      </w:tabs>
      <w:suppressAutoHyphens/>
      <w:spacing w:after="200"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Шагиреева</dc:creator>
  <cp:keywords/>
  <dc:description/>
  <cp:lastModifiedBy>Школа 54</cp:lastModifiedBy>
  <cp:revision>3</cp:revision>
  <dcterms:created xsi:type="dcterms:W3CDTF">2019-09-03T16:44:00Z</dcterms:created>
  <dcterms:modified xsi:type="dcterms:W3CDTF">2020-01-06T05:07:00Z</dcterms:modified>
</cp:coreProperties>
</file>